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352E" w14:textId="3C72E666" w:rsidR="00911D0B" w:rsidRPr="002C754B" w:rsidRDefault="007914B2">
      <w:pPr>
        <w:rPr>
          <w:u w:val="single"/>
        </w:rPr>
      </w:pPr>
      <w:r w:rsidRPr="002C754B">
        <w:rPr>
          <w:u w:val="single"/>
        </w:rPr>
        <w:t>ECS 202</w:t>
      </w:r>
      <w:r w:rsidR="00887E09" w:rsidRPr="002C754B">
        <w:rPr>
          <w:u w:val="single"/>
        </w:rPr>
        <w:t>2</w:t>
      </w:r>
      <w:r w:rsidRPr="002C754B">
        <w:rPr>
          <w:u w:val="single"/>
        </w:rPr>
        <w:t xml:space="preserve"> Annual Report, School Readiness Goals information</w:t>
      </w:r>
    </w:p>
    <w:p w14:paraId="231C386E" w14:textId="3A0A27E6" w:rsidR="002852B9" w:rsidRDefault="00153B1F">
      <w:r>
        <w:t>All children enrolled were assessed at the Fall Baseline, Winter Midpoint, and Spring Final Progress Checkpoints</w:t>
      </w:r>
      <w:r w:rsidR="00887E09">
        <w:t xml:space="preserve"> once again</w:t>
      </w:r>
      <w:r>
        <w:t xml:space="preserve"> this year</w:t>
      </w:r>
      <w:r w:rsidR="00852468">
        <w:t xml:space="preserve">.  </w:t>
      </w:r>
      <w:r w:rsidR="00BF788C">
        <w:t>Teachers’</w:t>
      </w:r>
      <w:r w:rsidR="00852468">
        <w:t xml:space="preserve"> curriculum heavily emphasized lessons and experiences in Social and Emotional Development, </w:t>
      </w:r>
      <w:r w:rsidR="000E2839">
        <w:t>Language and Literacy, and Approaches to Learning, as part of the School Readiness goals</w:t>
      </w:r>
      <w:r w:rsidR="00927E24">
        <w:t>, and it is no surprise that these are the areas where children made the greatest growth this year</w:t>
      </w:r>
      <w:r w:rsidR="000E2839">
        <w:t>.</w:t>
      </w:r>
      <w:r w:rsidR="00795EA2">
        <w:t xml:space="preserve">  </w:t>
      </w:r>
      <w:r w:rsidR="0069291F">
        <w:t xml:space="preserve">We continue to </w:t>
      </w:r>
      <w:r w:rsidR="00B22CD9">
        <w:t>work with children and families well above the required ten-percent by the Office of Head Start;  t</w:t>
      </w:r>
      <w:r w:rsidR="009B6687">
        <w:t>wenty-f</w:t>
      </w:r>
      <w:r w:rsidR="00303666">
        <w:t>our</w:t>
      </w:r>
      <w:r w:rsidR="009B6687">
        <w:t xml:space="preserve"> percent of enrolled preschoolers have an active Individualized Education Plan (IEP</w:t>
      </w:r>
      <w:r w:rsidR="00523AE6">
        <w:t>),</w:t>
      </w:r>
      <w:r w:rsidR="009B6687">
        <w:t xml:space="preserve"> and </w:t>
      </w:r>
      <w:r w:rsidR="00303666">
        <w:t>sixty</w:t>
      </w:r>
      <w:r w:rsidR="009B6687">
        <w:t xml:space="preserve"> percent of enrolled infants and toddlers have an active </w:t>
      </w:r>
      <w:r w:rsidR="00254CB0">
        <w:t>Individualized Family Support Plan/ Vermont One Plan this year.</w:t>
      </w:r>
      <w:r w:rsidR="002F25C8">
        <w:t xml:space="preserve">  Fifty-three children will transition to the public schools in the fall for kindergarten this year.</w:t>
      </w:r>
    </w:p>
    <w:p w14:paraId="4D831D01" w14:textId="77777777" w:rsidR="00E410B9" w:rsidRDefault="00E410B9"/>
    <w:p w14:paraId="79179B03" w14:textId="2B307EA5" w:rsidR="002852B9" w:rsidRDefault="000E2839">
      <w:r>
        <w:t>Final Progress in June 202</w:t>
      </w:r>
      <w:r w:rsidR="00E410B9">
        <w:t>2</w:t>
      </w:r>
      <w:r w:rsidR="002852B9">
        <w:t xml:space="preserve"> showed:</w:t>
      </w:r>
    </w:p>
    <w:p w14:paraId="5426BB3D" w14:textId="6B6E52A8" w:rsidR="00F34D43" w:rsidRDefault="00A74F47" w:rsidP="00F34D43">
      <w:pPr>
        <w:numPr>
          <w:ilvl w:val="0"/>
          <w:numId w:val="1"/>
        </w:numPr>
      </w:pPr>
      <w:r>
        <w:t>Social and Emotional Development</w:t>
      </w:r>
      <w:r w:rsidR="00E33CF4">
        <w:t>:</w:t>
      </w:r>
      <w:r w:rsidR="008C041C">
        <w:t xml:space="preserve"> % of children meetin</w:t>
      </w:r>
      <w:r w:rsidR="00A34C5C">
        <w:t>g/ exceeding age-level expectation</w:t>
      </w:r>
      <w:r>
        <w:t>:</w:t>
      </w:r>
    </w:p>
    <w:p w14:paraId="4792339C" w14:textId="1F398C20" w:rsidR="00F34D43" w:rsidRDefault="00754D5B" w:rsidP="00A74F47">
      <w:pPr>
        <w:numPr>
          <w:ilvl w:val="1"/>
          <w:numId w:val="1"/>
        </w:numPr>
      </w:pPr>
      <w:r>
        <w:t>88</w:t>
      </w:r>
      <w:r w:rsidR="008C041C">
        <w:t>% of Infants and Toddlers</w:t>
      </w:r>
    </w:p>
    <w:p w14:paraId="00570A4C" w14:textId="757C8EF1" w:rsidR="00977228" w:rsidRDefault="00B95789" w:rsidP="00977228">
      <w:pPr>
        <w:numPr>
          <w:ilvl w:val="1"/>
          <w:numId w:val="1"/>
        </w:numPr>
      </w:pPr>
      <w:r>
        <w:t>8</w:t>
      </w:r>
      <w:r w:rsidR="007E3CF3">
        <w:t>8</w:t>
      </w:r>
      <w:r w:rsidR="00A34C5C">
        <w:t>% of Three-year-</w:t>
      </w:r>
      <w:r w:rsidR="00DE0E10">
        <w:t>o</w:t>
      </w:r>
      <w:r w:rsidR="00A34C5C">
        <w:t>lds</w:t>
      </w:r>
      <w:r w:rsidR="00977228">
        <w:t xml:space="preserve">; increased </w:t>
      </w:r>
      <w:r w:rsidR="00977228">
        <w:t>28</w:t>
      </w:r>
      <w:r w:rsidR="00977228">
        <w:t>% from Fall</w:t>
      </w:r>
    </w:p>
    <w:p w14:paraId="2ABB26FB" w14:textId="01F955F6" w:rsidR="00F34D43" w:rsidRDefault="007E3CF3" w:rsidP="00A74F47">
      <w:pPr>
        <w:numPr>
          <w:ilvl w:val="1"/>
          <w:numId w:val="1"/>
        </w:numPr>
      </w:pPr>
      <w:r>
        <w:t>79</w:t>
      </w:r>
      <w:r w:rsidR="00DE0E10">
        <w:t>% of Four-year-olds</w:t>
      </w:r>
      <w:r w:rsidR="009D1CA9">
        <w:t>;</w:t>
      </w:r>
      <w:r w:rsidR="00E31830">
        <w:t xml:space="preserve"> increased </w:t>
      </w:r>
      <w:r w:rsidR="000B25FF">
        <w:t>55</w:t>
      </w:r>
      <w:r w:rsidR="00E31830">
        <w:t>% from Fall</w:t>
      </w:r>
    </w:p>
    <w:p w14:paraId="5E4C0D2C" w14:textId="1832DF84" w:rsidR="00C72E32" w:rsidRDefault="00C72E32" w:rsidP="00C72E32">
      <w:pPr>
        <w:numPr>
          <w:ilvl w:val="0"/>
          <w:numId w:val="1"/>
        </w:numPr>
      </w:pPr>
      <w:r>
        <w:t>Language Development</w:t>
      </w:r>
      <w:r w:rsidR="00E33CF4">
        <w:t>:</w:t>
      </w:r>
      <w:r>
        <w:t xml:space="preserve"> % of children meeting/ exceeding age-level expectation:</w:t>
      </w:r>
    </w:p>
    <w:p w14:paraId="26A242F4" w14:textId="493385F5" w:rsidR="00C72E32" w:rsidRDefault="00D67751" w:rsidP="00C72E32">
      <w:pPr>
        <w:numPr>
          <w:ilvl w:val="1"/>
          <w:numId w:val="1"/>
        </w:numPr>
      </w:pPr>
      <w:r>
        <w:t>7</w:t>
      </w:r>
      <w:r w:rsidR="009D1CA9">
        <w:t>5</w:t>
      </w:r>
      <w:r w:rsidR="00C72E32">
        <w:t>% of Infants and Toddlers</w:t>
      </w:r>
    </w:p>
    <w:p w14:paraId="3BD14D90" w14:textId="047BA81E" w:rsidR="00E86860" w:rsidRDefault="00B702EE" w:rsidP="00E86860">
      <w:pPr>
        <w:numPr>
          <w:ilvl w:val="1"/>
          <w:numId w:val="1"/>
        </w:numPr>
      </w:pPr>
      <w:r>
        <w:t>8</w:t>
      </w:r>
      <w:r w:rsidR="006D0CED">
        <w:t>5</w:t>
      </w:r>
      <w:r w:rsidR="00C72E32">
        <w:t>% of Three-year-olds</w:t>
      </w:r>
      <w:r w:rsidR="00E86860">
        <w:t xml:space="preserve">; increased </w:t>
      </w:r>
      <w:r w:rsidR="002C669B">
        <w:t>37</w:t>
      </w:r>
      <w:r w:rsidR="00E86860">
        <w:t>% from Fall</w:t>
      </w:r>
    </w:p>
    <w:p w14:paraId="2BC42456" w14:textId="6C315686" w:rsidR="00F34D43" w:rsidRPr="00F34D43" w:rsidRDefault="006D0CED" w:rsidP="00C72E32">
      <w:pPr>
        <w:numPr>
          <w:ilvl w:val="1"/>
          <w:numId w:val="1"/>
        </w:numPr>
      </w:pPr>
      <w:r>
        <w:t>8</w:t>
      </w:r>
      <w:r w:rsidR="00B702EE">
        <w:t>7</w:t>
      </w:r>
      <w:r w:rsidR="00C72E32">
        <w:t>% of Four-year-olds</w:t>
      </w:r>
      <w:r w:rsidR="00B702EE">
        <w:t>; increased 2</w:t>
      </w:r>
      <w:r w:rsidR="00E86860">
        <w:t>7</w:t>
      </w:r>
      <w:r w:rsidR="00B702EE">
        <w:t>% from Fall</w:t>
      </w:r>
    </w:p>
    <w:p w14:paraId="09C2148C" w14:textId="3966B7A0" w:rsidR="00726013" w:rsidRDefault="00726013" w:rsidP="00726013">
      <w:pPr>
        <w:numPr>
          <w:ilvl w:val="0"/>
          <w:numId w:val="1"/>
        </w:numPr>
      </w:pPr>
      <w:r>
        <w:t>Literacy Development</w:t>
      </w:r>
      <w:r w:rsidR="00E33CF4">
        <w:t>:</w:t>
      </w:r>
      <w:r>
        <w:t xml:space="preserve"> % of children meeting/ exceeding age-level expectation:</w:t>
      </w:r>
    </w:p>
    <w:p w14:paraId="759AF4F4" w14:textId="7F605423" w:rsidR="00726013" w:rsidRDefault="00754D5B" w:rsidP="00726013">
      <w:pPr>
        <w:numPr>
          <w:ilvl w:val="1"/>
          <w:numId w:val="1"/>
        </w:numPr>
      </w:pPr>
      <w:r>
        <w:t>8</w:t>
      </w:r>
      <w:r w:rsidR="00FF4A53">
        <w:t>5</w:t>
      </w:r>
      <w:r w:rsidR="00726013">
        <w:t>% of Infants and Toddlers</w:t>
      </w:r>
    </w:p>
    <w:p w14:paraId="16ED2BB1" w14:textId="257EEA7F" w:rsidR="002C669B" w:rsidRDefault="006D0CED" w:rsidP="002C669B">
      <w:pPr>
        <w:numPr>
          <w:ilvl w:val="1"/>
          <w:numId w:val="1"/>
        </w:numPr>
      </w:pPr>
      <w:r>
        <w:t>66</w:t>
      </w:r>
      <w:r w:rsidR="00726013">
        <w:t>% of Three-year-olds</w:t>
      </w:r>
      <w:r w:rsidR="002C669B">
        <w:t xml:space="preserve">; increased </w:t>
      </w:r>
      <w:r w:rsidR="00BF5EB9">
        <w:t>24</w:t>
      </w:r>
      <w:r w:rsidR="002C669B">
        <w:t>% from Fall</w:t>
      </w:r>
    </w:p>
    <w:p w14:paraId="2130CAA6" w14:textId="7B1DCFA3" w:rsidR="00F34D43" w:rsidRPr="00F34D43" w:rsidRDefault="00FF4A53" w:rsidP="00726013">
      <w:pPr>
        <w:numPr>
          <w:ilvl w:val="1"/>
          <w:numId w:val="1"/>
        </w:numPr>
      </w:pPr>
      <w:r>
        <w:t>7</w:t>
      </w:r>
      <w:r w:rsidR="006D0CED">
        <w:t>8</w:t>
      </w:r>
      <w:r w:rsidR="00726013">
        <w:t>% of Four-year-olds</w:t>
      </w:r>
      <w:r>
        <w:t xml:space="preserve">; increased </w:t>
      </w:r>
      <w:r w:rsidR="00BF5EB9">
        <w:t>29</w:t>
      </w:r>
      <w:r>
        <w:t>% from Fall</w:t>
      </w:r>
    </w:p>
    <w:p w14:paraId="4D1903CA" w14:textId="5E6BADFD" w:rsidR="006B5BC4" w:rsidRDefault="006B5BC4" w:rsidP="006B5BC4">
      <w:pPr>
        <w:numPr>
          <w:ilvl w:val="0"/>
          <w:numId w:val="1"/>
        </w:numPr>
      </w:pPr>
      <w:r>
        <w:t>Mathematics</w:t>
      </w:r>
      <w:r w:rsidR="00E33CF4">
        <w:t>:</w:t>
      </w:r>
      <w:r>
        <w:t xml:space="preserve"> % of children meeting/ exceeding age-level expectation:</w:t>
      </w:r>
    </w:p>
    <w:p w14:paraId="53B33F83" w14:textId="0F09722B" w:rsidR="006B5BC4" w:rsidRDefault="00754D5B" w:rsidP="006B5BC4">
      <w:pPr>
        <w:numPr>
          <w:ilvl w:val="1"/>
          <w:numId w:val="1"/>
        </w:numPr>
      </w:pPr>
      <w:r>
        <w:t>74</w:t>
      </w:r>
      <w:r w:rsidR="006B5BC4">
        <w:t>% of Infants and Toddlers</w:t>
      </w:r>
    </w:p>
    <w:p w14:paraId="7A0104A2" w14:textId="1806CB7C" w:rsidR="008F4980" w:rsidRDefault="00A64A90" w:rsidP="008F4980">
      <w:pPr>
        <w:numPr>
          <w:ilvl w:val="1"/>
          <w:numId w:val="1"/>
        </w:numPr>
      </w:pPr>
      <w:r>
        <w:t>7</w:t>
      </w:r>
      <w:r w:rsidR="006D0CED">
        <w:t>9</w:t>
      </w:r>
      <w:r w:rsidR="006B5BC4">
        <w:t>% of Three-year-olds</w:t>
      </w:r>
      <w:r w:rsidR="008F4980">
        <w:t xml:space="preserve">; increased </w:t>
      </w:r>
      <w:r w:rsidR="008F4980">
        <w:t>32</w:t>
      </w:r>
      <w:r w:rsidR="008F4980">
        <w:t>% from Fall</w:t>
      </w:r>
    </w:p>
    <w:p w14:paraId="58347F12" w14:textId="69EB113B" w:rsidR="00F34D43" w:rsidRPr="00F34D43" w:rsidRDefault="006D0CED" w:rsidP="006B5BC4">
      <w:pPr>
        <w:numPr>
          <w:ilvl w:val="1"/>
          <w:numId w:val="1"/>
        </w:numPr>
      </w:pPr>
      <w:r>
        <w:t>66</w:t>
      </w:r>
      <w:r w:rsidR="006B5BC4">
        <w:t>% of Four-year-olds</w:t>
      </w:r>
      <w:r w:rsidR="00A64A90">
        <w:t>; increased 2</w:t>
      </w:r>
      <w:r w:rsidR="008F4980">
        <w:t>9</w:t>
      </w:r>
      <w:r w:rsidR="00A64A90">
        <w:t>% from Fall</w:t>
      </w:r>
    </w:p>
    <w:p w14:paraId="78DBA478" w14:textId="3A997A5F" w:rsidR="00BD294E" w:rsidRDefault="00BD294E" w:rsidP="00BD294E">
      <w:pPr>
        <w:numPr>
          <w:ilvl w:val="0"/>
          <w:numId w:val="1"/>
        </w:numPr>
      </w:pPr>
      <w:r>
        <w:t>Approaches to Learning</w:t>
      </w:r>
      <w:r w:rsidR="00E33CF4">
        <w:t>:</w:t>
      </w:r>
      <w:r>
        <w:t xml:space="preserve"> % of children meeting/ exceeding age-level expectation:</w:t>
      </w:r>
    </w:p>
    <w:p w14:paraId="1D417EDD" w14:textId="55879618" w:rsidR="00BD294E" w:rsidRDefault="0016110C" w:rsidP="00BD294E">
      <w:pPr>
        <w:numPr>
          <w:ilvl w:val="1"/>
          <w:numId w:val="1"/>
        </w:numPr>
      </w:pPr>
      <w:r>
        <w:lastRenderedPageBreak/>
        <w:t>95</w:t>
      </w:r>
      <w:r w:rsidR="00BD294E">
        <w:t>% of Infants and Toddlers</w:t>
      </w:r>
    </w:p>
    <w:p w14:paraId="654113CA" w14:textId="250651EF" w:rsidR="00884FDB" w:rsidRDefault="0016110C" w:rsidP="00884FDB">
      <w:pPr>
        <w:numPr>
          <w:ilvl w:val="1"/>
          <w:numId w:val="1"/>
        </w:numPr>
      </w:pPr>
      <w:r>
        <w:t>8</w:t>
      </w:r>
      <w:r w:rsidR="00D71604">
        <w:t>6</w:t>
      </w:r>
      <w:r w:rsidR="00BD294E">
        <w:t>% of Three-year-olds</w:t>
      </w:r>
      <w:r w:rsidR="00884FDB">
        <w:t xml:space="preserve">; increased </w:t>
      </w:r>
      <w:r w:rsidR="00884FDB">
        <w:t>28</w:t>
      </w:r>
      <w:r w:rsidR="00884FDB">
        <w:t>% from Fall</w:t>
      </w:r>
    </w:p>
    <w:p w14:paraId="208574A1" w14:textId="13635859" w:rsidR="00F34D43" w:rsidRPr="00F34D43" w:rsidRDefault="00D71604" w:rsidP="00BD294E">
      <w:pPr>
        <w:numPr>
          <w:ilvl w:val="1"/>
          <w:numId w:val="1"/>
        </w:numPr>
      </w:pPr>
      <w:r>
        <w:t>8</w:t>
      </w:r>
      <w:r w:rsidR="00BD294E">
        <w:t>7% of Four-year-olds</w:t>
      </w:r>
      <w:r w:rsidR="0016110C">
        <w:t>; increased 4</w:t>
      </w:r>
      <w:r w:rsidR="00884FDB">
        <w:t>2</w:t>
      </w:r>
      <w:r w:rsidR="0016110C">
        <w:t>% from Fall</w:t>
      </w:r>
    </w:p>
    <w:p w14:paraId="4BA43618" w14:textId="4DBA398B" w:rsidR="00B32CA3" w:rsidRDefault="00B32CA3" w:rsidP="00B32CA3">
      <w:pPr>
        <w:numPr>
          <w:ilvl w:val="0"/>
          <w:numId w:val="1"/>
        </w:numPr>
      </w:pPr>
      <w:r>
        <w:t>Physical Development</w:t>
      </w:r>
      <w:r w:rsidR="00E33CF4">
        <w:t>:</w:t>
      </w:r>
      <w:r>
        <w:t xml:space="preserve"> % of children meeting/ exceeding age-level expectation:</w:t>
      </w:r>
    </w:p>
    <w:p w14:paraId="75BC1CC5" w14:textId="1D768B00" w:rsidR="00B32CA3" w:rsidRDefault="00754D5B" w:rsidP="00B32CA3">
      <w:pPr>
        <w:numPr>
          <w:ilvl w:val="1"/>
          <w:numId w:val="1"/>
        </w:numPr>
      </w:pPr>
      <w:r>
        <w:t>8</w:t>
      </w:r>
      <w:r w:rsidR="008E3396">
        <w:t>9</w:t>
      </w:r>
      <w:r w:rsidR="00B32CA3">
        <w:t>% of Infants and Toddlers</w:t>
      </w:r>
    </w:p>
    <w:p w14:paraId="6B79E7CB" w14:textId="6E1535CA" w:rsidR="00CF2CA9" w:rsidRDefault="00D71604" w:rsidP="00CF2CA9">
      <w:pPr>
        <w:numPr>
          <w:ilvl w:val="1"/>
          <w:numId w:val="1"/>
        </w:numPr>
      </w:pPr>
      <w:r>
        <w:t>95</w:t>
      </w:r>
      <w:r w:rsidR="00B32CA3">
        <w:t>% of Three-year-olds</w:t>
      </w:r>
      <w:r w:rsidR="00CF2CA9">
        <w:t xml:space="preserve">; increased </w:t>
      </w:r>
      <w:r w:rsidR="00CF2CA9">
        <w:t>20</w:t>
      </w:r>
      <w:r w:rsidR="00CF2CA9">
        <w:t>% from Fall</w:t>
      </w:r>
    </w:p>
    <w:p w14:paraId="7B3D8C67" w14:textId="0A549F8F" w:rsidR="00F34D43" w:rsidRPr="00F34D43" w:rsidRDefault="00D71604" w:rsidP="00B32CA3">
      <w:pPr>
        <w:numPr>
          <w:ilvl w:val="1"/>
          <w:numId w:val="1"/>
        </w:numPr>
      </w:pPr>
      <w:r>
        <w:t>85</w:t>
      </w:r>
      <w:r w:rsidR="00B32CA3">
        <w:t>% of Four-year-olds</w:t>
      </w:r>
      <w:r w:rsidR="008E3396">
        <w:t xml:space="preserve">; increased </w:t>
      </w:r>
      <w:r w:rsidR="00CF2CA9">
        <w:t>24</w:t>
      </w:r>
      <w:r w:rsidR="008E3396">
        <w:t>% from Fall</w:t>
      </w:r>
    </w:p>
    <w:p w14:paraId="41CBED27" w14:textId="323630E7" w:rsidR="00F34D43" w:rsidRDefault="007E3CF3" w:rsidP="00152BF6">
      <w:pPr>
        <w:numPr>
          <w:ilvl w:val="0"/>
          <w:numId w:val="1"/>
        </w:numPr>
      </w:pPr>
      <w:r>
        <w:t>100</w:t>
      </w:r>
      <w:r w:rsidR="00C45A1A">
        <w:t>% of</w:t>
      </w:r>
      <w:r w:rsidR="00840052">
        <w:t xml:space="preserve"> preschoolers</w:t>
      </w:r>
      <w:r w:rsidR="00C45A1A">
        <w:t xml:space="preserve"> emerging </w:t>
      </w:r>
      <w:r w:rsidR="00840052">
        <w:t>or</w:t>
      </w:r>
      <w:r w:rsidR="00C45A1A">
        <w:t xml:space="preserve"> meets </w:t>
      </w:r>
      <w:r w:rsidR="00840052">
        <w:t>program</w:t>
      </w:r>
      <w:r w:rsidR="00C45A1A">
        <w:t xml:space="preserve"> expectation</w:t>
      </w:r>
      <w:r w:rsidR="00152BF6">
        <w:t xml:space="preserve"> in Scientific Reasoning</w:t>
      </w:r>
    </w:p>
    <w:p w14:paraId="1A002320" w14:textId="77777777" w:rsidR="002852B9" w:rsidRDefault="002852B9"/>
    <w:sectPr w:rsidR="00285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0DE4"/>
    <w:multiLevelType w:val="hybridMultilevel"/>
    <w:tmpl w:val="47DC3ED2"/>
    <w:lvl w:ilvl="0" w:tplc="7F5AF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60D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2A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07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25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07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29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40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8F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22337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14B2"/>
    <w:rsid w:val="00043FDF"/>
    <w:rsid w:val="000B25FF"/>
    <w:rsid w:val="000E2839"/>
    <w:rsid w:val="00152BF6"/>
    <w:rsid w:val="00153B1F"/>
    <w:rsid w:val="0016110C"/>
    <w:rsid w:val="00161380"/>
    <w:rsid w:val="001743C3"/>
    <w:rsid w:val="0021335C"/>
    <w:rsid w:val="00254CB0"/>
    <w:rsid w:val="002852B9"/>
    <w:rsid w:val="002C669B"/>
    <w:rsid w:val="002C754B"/>
    <w:rsid w:val="002D63E8"/>
    <w:rsid w:val="002F25C8"/>
    <w:rsid w:val="00303666"/>
    <w:rsid w:val="005055D5"/>
    <w:rsid w:val="00523AE6"/>
    <w:rsid w:val="0069291F"/>
    <w:rsid w:val="00694FD5"/>
    <w:rsid w:val="006B5BC4"/>
    <w:rsid w:val="006D0CED"/>
    <w:rsid w:val="00712FAB"/>
    <w:rsid w:val="00726013"/>
    <w:rsid w:val="00740890"/>
    <w:rsid w:val="00754D5B"/>
    <w:rsid w:val="00754DFA"/>
    <w:rsid w:val="0078467B"/>
    <w:rsid w:val="007914B2"/>
    <w:rsid w:val="00795EA2"/>
    <w:rsid w:val="007C0CFD"/>
    <w:rsid w:val="007D632C"/>
    <w:rsid w:val="007E36EF"/>
    <w:rsid w:val="007E3CF3"/>
    <w:rsid w:val="00840052"/>
    <w:rsid w:val="00852468"/>
    <w:rsid w:val="00871B52"/>
    <w:rsid w:val="00884FDB"/>
    <w:rsid w:val="00887E09"/>
    <w:rsid w:val="008C041C"/>
    <w:rsid w:val="008E3396"/>
    <w:rsid w:val="008F4980"/>
    <w:rsid w:val="00900A85"/>
    <w:rsid w:val="00927E24"/>
    <w:rsid w:val="00937CE6"/>
    <w:rsid w:val="00977228"/>
    <w:rsid w:val="009B6687"/>
    <w:rsid w:val="009D1CA9"/>
    <w:rsid w:val="00A34C5C"/>
    <w:rsid w:val="00A64A90"/>
    <w:rsid w:val="00A6779A"/>
    <w:rsid w:val="00A74F47"/>
    <w:rsid w:val="00B22CD9"/>
    <w:rsid w:val="00B32CA3"/>
    <w:rsid w:val="00B702EE"/>
    <w:rsid w:val="00B95789"/>
    <w:rsid w:val="00BC4889"/>
    <w:rsid w:val="00BD294E"/>
    <w:rsid w:val="00BE1EA0"/>
    <w:rsid w:val="00BF5EB9"/>
    <w:rsid w:val="00BF788C"/>
    <w:rsid w:val="00C33430"/>
    <w:rsid w:val="00C35017"/>
    <w:rsid w:val="00C45A1A"/>
    <w:rsid w:val="00C607C4"/>
    <w:rsid w:val="00C72E32"/>
    <w:rsid w:val="00C85A4E"/>
    <w:rsid w:val="00CF2CA9"/>
    <w:rsid w:val="00D0355A"/>
    <w:rsid w:val="00D21993"/>
    <w:rsid w:val="00D32381"/>
    <w:rsid w:val="00D420A4"/>
    <w:rsid w:val="00D67751"/>
    <w:rsid w:val="00D71604"/>
    <w:rsid w:val="00DB3335"/>
    <w:rsid w:val="00DD25C0"/>
    <w:rsid w:val="00DE0E10"/>
    <w:rsid w:val="00E21C23"/>
    <w:rsid w:val="00E31830"/>
    <w:rsid w:val="00E33CF4"/>
    <w:rsid w:val="00E410B9"/>
    <w:rsid w:val="00E86860"/>
    <w:rsid w:val="00E90BB9"/>
    <w:rsid w:val="00F34D43"/>
    <w:rsid w:val="00F4719E"/>
    <w:rsid w:val="00FE0B9D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67191"/>
  <w15:chartTrackingRefBased/>
  <w15:docId w15:val="{35DC9388-6287-4B1B-B6AC-044D5023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7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C62EEE621BA448E8821C146885A9B" ma:contentTypeVersion="13" ma:contentTypeDescription="Create a new document." ma:contentTypeScope="" ma:versionID="07461a73ffd594826706dfdc816f54cc">
  <xsd:schema xmlns:xsd="http://www.w3.org/2001/XMLSchema" xmlns:xs="http://www.w3.org/2001/XMLSchema" xmlns:p="http://schemas.microsoft.com/office/2006/metadata/properties" xmlns:ns3="4b6f91c2-d3bd-4700-b37d-75a07500ddfc" xmlns:ns4="087f44c0-d044-49ce-bf54-5886ebe7d952" targetNamespace="http://schemas.microsoft.com/office/2006/metadata/properties" ma:root="true" ma:fieldsID="a5ac83e92f66ae7892571168d57aef41" ns3:_="" ns4:_="">
    <xsd:import namespace="4b6f91c2-d3bd-4700-b37d-75a07500ddfc"/>
    <xsd:import namespace="087f44c0-d044-49ce-bf54-5886ebe7d9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f91c2-d3bd-4700-b37d-75a07500d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f44c0-d044-49ce-bf54-5886ebe7d9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23586-1645-4193-9B48-9C6C0D4B1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f91c2-d3bd-4700-b37d-75a07500ddfc"/>
    <ds:schemaRef ds:uri="087f44c0-d044-49ce-bf54-5886ebe7d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F4815-943D-435A-8316-C11BBA33D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D27BE-082B-4B69-80CF-800BCEA50A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Bishop</dc:creator>
  <cp:keywords/>
  <dc:description/>
  <cp:lastModifiedBy>Rebecca Bishop Ware</cp:lastModifiedBy>
  <cp:revision>22</cp:revision>
  <cp:lastPrinted>2021-08-06T19:24:00Z</cp:lastPrinted>
  <dcterms:created xsi:type="dcterms:W3CDTF">2022-06-12T13:05:00Z</dcterms:created>
  <dcterms:modified xsi:type="dcterms:W3CDTF">2022-06-20T14:19:00Z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0x01010074EC62EEE621BA448E8821C146885A9B</vt:lpwstr>
  </property>
</Properties>
</file>